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AC5DE" w14:textId="3FB03CCF" w:rsidR="00D92A65" w:rsidRPr="009B68D1" w:rsidRDefault="00D92A65" w:rsidP="00D92A65">
      <w:pPr>
        <w:jc w:val="center"/>
        <w:rPr>
          <w:rFonts w:ascii="標楷體" w:eastAsia="標楷體" w:hAnsi="標楷體"/>
          <w:b/>
          <w:sz w:val="32"/>
          <w:szCs w:val="32"/>
        </w:rPr>
      </w:pPr>
      <w:r w:rsidRPr="009B68D1">
        <w:rPr>
          <w:rFonts w:ascii="標楷體" w:eastAsia="標楷體" w:hAnsi="標楷體" w:hint="eastAsia"/>
          <w:b/>
          <w:sz w:val="32"/>
          <w:szCs w:val="32"/>
        </w:rPr>
        <w:t>上市</w:t>
      </w:r>
      <w:r w:rsidR="005826E8">
        <w:rPr>
          <w:rFonts w:ascii="標楷體" w:eastAsia="標楷體" w:hAnsi="標楷體" w:hint="eastAsia"/>
          <w:b/>
          <w:sz w:val="32"/>
          <w:szCs w:val="32"/>
        </w:rPr>
        <w:t>、</w:t>
      </w:r>
      <w:r w:rsidR="000D51DC" w:rsidRPr="009B68D1">
        <w:rPr>
          <w:rFonts w:ascii="標楷體" w:eastAsia="標楷體" w:hAnsi="標楷體" w:hint="eastAsia"/>
          <w:b/>
          <w:sz w:val="32"/>
          <w:szCs w:val="32"/>
        </w:rPr>
        <w:t>上</w:t>
      </w:r>
      <w:r w:rsidRPr="009B68D1">
        <w:rPr>
          <w:rFonts w:ascii="標楷體" w:eastAsia="標楷體" w:hAnsi="標楷體" w:hint="eastAsia"/>
          <w:b/>
          <w:sz w:val="32"/>
          <w:szCs w:val="32"/>
        </w:rPr>
        <w:t>櫃公司</w:t>
      </w:r>
      <w:r w:rsidR="000D51DC" w:rsidRPr="009B68D1">
        <w:rPr>
          <w:rFonts w:ascii="標楷體" w:eastAsia="標楷體" w:hAnsi="標楷體" w:cs="Times New Roman" w:hint="eastAsia"/>
          <w:b/>
          <w:bCs/>
          <w:sz w:val="32"/>
          <w:szCs w:val="32"/>
        </w:rPr>
        <w:t>股權比例達5％以上股東資料</w:t>
      </w:r>
      <w:r w:rsidRPr="009B68D1">
        <w:rPr>
          <w:rFonts w:ascii="標楷體" w:eastAsia="標楷體" w:hAnsi="標楷體" w:hint="eastAsia"/>
          <w:b/>
          <w:sz w:val="32"/>
          <w:szCs w:val="32"/>
        </w:rPr>
        <w:t>編製</w:t>
      </w:r>
      <w:r w:rsidR="005826E8">
        <w:rPr>
          <w:rFonts w:ascii="標楷體" w:eastAsia="標楷體" w:hAnsi="標楷體" w:hint="eastAsia"/>
          <w:b/>
          <w:sz w:val="32"/>
          <w:szCs w:val="32"/>
        </w:rPr>
        <w:t>基礎</w:t>
      </w:r>
      <w:r w:rsidR="000D51DC" w:rsidRPr="009B68D1">
        <w:rPr>
          <w:rFonts w:ascii="標楷體" w:eastAsia="標楷體" w:hAnsi="標楷體" w:hint="eastAsia"/>
          <w:b/>
          <w:sz w:val="32"/>
          <w:szCs w:val="32"/>
        </w:rPr>
        <w:t>說明</w:t>
      </w:r>
    </w:p>
    <w:p w14:paraId="1168A5D4" w14:textId="77777777" w:rsidR="00BB32D6" w:rsidRPr="009B68D1" w:rsidRDefault="000D51DC" w:rsidP="009B68D1">
      <w:pPr>
        <w:adjustRightInd w:val="0"/>
        <w:snapToGrid w:val="0"/>
        <w:spacing w:line="500" w:lineRule="exact"/>
        <w:rPr>
          <w:rFonts w:ascii="標楷體" w:eastAsia="標楷體" w:hAnsi="標楷體"/>
          <w:sz w:val="28"/>
          <w:szCs w:val="28"/>
        </w:rPr>
      </w:pPr>
      <w:r w:rsidRPr="009B68D1">
        <w:rPr>
          <w:rFonts w:ascii="標楷體" w:eastAsia="標楷體" w:hAnsi="標楷體" w:hint="eastAsia"/>
          <w:sz w:val="28"/>
          <w:szCs w:val="28"/>
        </w:rPr>
        <w:t>一、</w:t>
      </w:r>
      <w:r w:rsidR="00C05A61" w:rsidRPr="009B68D1">
        <w:rPr>
          <w:rFonts w:ascii="標楷體" w:eastAsia="標楷體" w:hAnsi="標楷體" w:hint="eastAsia"/>
          <w:sz w:val="28"/>
          <w:szCs w:val="28"/>
        </w:rPr>
        <w:t>資料日</w:t>
      </w:r>
      <w:r w:rsidR="00D92A65" w:rsidRPr="009B68D1">
        <w:rPr>
          <w:rFonts w:ascii="標楷體" w:eastAsia="標楷體" w:hAnsi="標楷體" w:hint="eastAsia"/>
          <w:sz w:val="28"/>
          <w:szCs w:val="28"/>
        </w:rPr>
        <w:t>：</w:t>
      </w:r>
    </w:p>
    <w:p w14:paraId="399BC6E1" w14:textId="0C5E1C19" w:rsidR="00D92A65" w:rsidRPr="009B68D1" w:rsidRDefault="00D92A65" w:rsidP="009B68D1">
      <w:pPr>
        <w:adjustRightInd w:val="0"/>
        <w:snapToGrid w:val="0"/>
        <w:spacing w:line="500" w:lineRule="exact"/>
        <w:ind w:firstLineChars="198" w:firstLine="554"/>
        <w:rPr>
          <w:rFonts w:ascii="標楷體" w:eastAsia="標楷體" w:hAnsi="標楷體"/>
          <w:sz w:val="28"/>
          <w:szCs w:val="28"/>
        </w:rPr>
      </w:pPr>
      <w:r w:rsidRPr="009B68D1">
        <w:rPr>
          <w:rFonts w:ascii="標楷體" w:eastAsia="標楷體" w:hAnsi="標楷體" w:hint="eastAsia"/>
          <w:sz w:val="28"/>
          <w:szCs w:val="28"/>
        </w:rPr>
        <w:t>每季底最後一營業日</w:t>
      </w:r>
      <w:r w:rsidR="00A9621B" w:rsidRPr="009B68D1">
        <w:rPr>
          <w:rFonts w:ascii="標楷體" w:eastAsia="標楷體" w:hAnsi="標楷體" w:hint="eastAsia"/>
          <w:sz w:val="28"/>
          <w:szCs w:val="28"/>
        </w:rPr>
        <w:t>。</w:t>
      </w:r>
    </w:p>
    <w:p w14:paraId="04BEF19F" w14:textId="615FF7BF" w:rsidR="0092768F" w:rsidRPr="009B68D1" w:rsidRDefault="0092768F" w:rsidP="009B68D1">
      <w:pPr>
        <w:adjustRightInd w:val="0"/>
        <w:snapToGrid w:val="0"/>
        <w:spacing w:line="500" w:lineRule="exact"/>
        <w:rPr>
          <w:rFonts w:ascii="標楷體" w:eastAsia="標楷體" w:hAnsi="標楷體"/>
          <w:sz w:val="28"/>
          <w:szCs w:val="28"/>
        </w:rPr>
      </w:pPr>
      <w:r w:rsidRPr="009B68D1">
        <w:rPr>
          <w:rFonts w:ascii="標楷體" w:eastAsia="標楷體" w:hAnsi="標楷體" w:hint="eastAsia"/>
          <w:sz w:val="28"/>
          <w:szCs w:val="28"/>
        </w:rPr>
        <w:t>二、編製</w:t>
      </w:r>
      <w:r w:rsidR="005826E8">
        <w:rPr>
          <w:rFonts w:ascii="標楷體" w:eastAsia="標楷體" w:hAnsi="標楷體" w:hint="eastAsia"/>
          <w:sz w:val="28"/>
          <w:szCs w:val="28"/>
        </w:rPr>
        <w:t>基礎</w:t>
      </w:r>
      <w:r w:rsidRPr="009B68D1">
        <w:rPr>
          <w:rFonts w:ascii="標楷體" w:eastAsia="標楷體" w:hAnsi="標楷體" w:hint="eastAsia"/>
          <w:sz w:val="28"/>
          <w:szCs w:val="28"/>
        </w:rPr>
        <w:t>：</w:t>
      </w:r>
    </w:p>
    <w:p w14:paraId="4D02AA51" w14:textId="27FEBF83" w:rsidR="000D51DC" w:rsidRPr="009B68D1" w:rsidRDefault="0092768F" w:rsidP="009B68D1">
      <w:pPr>
        <w:adjustRightInd w:val="0"/>
        <w:snapToGrid w:val="0"/>
        <w:spacing w:line="500" w:lineRule="exact"/>
        <w:ind w:leftChars="196" w:left="1276" w:hangingChars="288" w:hanging="806"/>
        <w:jc w:val="both"/>
        <w:rPr>
          <w:rFonts w:ascii="標楷體" w:eastAsia="標楷體" w:hAnsi="標楷體" w:cs="Times New Roman"/>
          <w:noProof/>
          <w:kern w:val="0"/>
          <w:sz w:val="28"/>
          <w:szCs w:val="28"/>
        </w:rPr>
      </w:pPr>
      <w:bookmarkStart w:id="0" w:name="_Hlk33913527"/>
      <w:r w:rsidRPr="009B68D1">
        <w:rPr>
          <w:rFonts w:ascii="標楷體" w:eastAsia="標楷體" w:hAnsi="標楷體" w:cs="Times New Roman" w:hint="eastAsia"/>
          <w:sz w:val="28"/>
          <w:szCs w:val="28"/>
        </w:rPr>
        <w:t>（一）</w:t>
      </w:r>
      <w:bookmarkEnd w:id="0"/>
      <w:r w:rsidR="000D51DC" w:rsidRPr="009B68D1">
        <w:rPr>
          <w:rFonts w:ascii="標楷體" w:eastAsia="標楷體" w:hAnsi="標楷體" w:cs="Times New Roman" w:hint="eastAsia"/>
          <w:noProof/>
          <w:kern w:val="0"/>
          <w:sz w:val="28"/>
          <w:szCs w:val="28"/>
        </w:rPr>
        <w:t>以每季底最後一個營業日，計算股東持有公司</w:t>
      </w:r>
      <w:r w:rsidR="000D51DC" w:rsidRPr="009B68D1">
        <w:rPr>
          <w:rFonts w:ascii="標楷體" w:eastAsia="標楷體" w:hAnsi="標楷體" w:cs="Times New Roman" w:hint="eastAsia"/>
          <w:kern w:val="0"/>
          <w:sz w:val="28"/>
          <w:szCs w:val="28"/>
        </w:rPr>
        <w:t>已</w:t>
      </w:r>
      <w:r w:rsidR="000D51DC" w:rsidRPr="009B68D1">
        <w:rPr>
          <w:rFonts w:ascii="標楷體" w:eastAsia="標楷體" w:hAnsi="標楷體" w:cs="Times New Roman" w:hint="eastAsia"/>
          <w:noProof/>
          <w:kern w:val="0"/>
          <w:sz w:val="28"/>
          <w:szCs w:val="28"/>
        </w:rPr>
        <w:t>完成</w:t>
      </w:r>
      <w:r w:rsidR="000D51DC" w:rsidRPr="009B68D1">
        <w:rPr>
          <w:rFonts w:ascii="標楷體" w:eastAsia="標楷體" w:hAnsi="標楷體" w:cs="Times New Roman" w:hint="eastAsia"/>
          <w:kern w:val="0"/>
          <w:sz w:val="28"/>
          <w:szCs w:val="28"/>
        </w:rPr>
        <w:t>無實體登錄交付（含庫藏股）</w:t>
      </w:r>
      <w:r w:rsidR="000D51DC" w:rsidRPr="009B68D1">
        <w:rPr>
          <w:rFonts w:ascii="標楷體" w:eastAsia="標楷體" w:hAnsi="標楷體" w:cs="Times New Roman" w:hint="eastAsia"/>
          <w:noProof/>
          <w:kern w:val="0"/>
          <w:sz w:val="28"/>
          <w:szCs w:val="28"/>
        </w:rPr>
        <w:t>之普通股及特別股合計達5%以上資料。</w:t>
      </w:r>
      <w:r w:rsidR="00F301EF" w:rsidRPr="009B68D1">
        <w:rPr>
          <w:rFonts w:ascii="標楷體" w:eastAsia="標楷體" w:hAnsi="標楷體" w:cs="Times New Roman" w:hint="eastAsia"/>
          <w:noProof/>
          <w:kern w:val="0"/>
          <w:sz w:val="28"/>
          <w:szCs w:val="28"/>
        </w:rPr>
        <w:t>至於</w:t>
      </w:r>
      <w:r w:rsidR="00F301EF" w:rsidRPr="009B68D1">
        <w:rPr>
          <w:rFonts w:ascii="標楷體" w:eastAsia="標楷體" w:hAnsi="標楷體" w:cs="Times New Roman" w:hint="eastAsia"/>
          <w:kern w:val="0"/>
          <w:sz w:val="28"/>
          <w:szCs w:val="28"/>
        </w:rPr>
        <w:t>公司財務報告所記載股本與公司實際已</w:t>
      </w:r>
      <w:r w:rsidR="00F301EF" w:rsidRPr="009B68D1">
        <w:rPr>
          <w:rFonts w:ascii="標楷體" w:eastAsia="標楷體" w:hAnsi="標楷體" w:cs="Times New Roman" w:hint="eastAsia"/>
          <w:noProof/>
          <w:kern w:val="0"/>
          <w:sz w:val="28"/>
          <w:szCs w:val="28"/>
        </w:rPr>
        <w:t>完成</w:t>
      </w:r>
      <w:r w:rsidR="00F301EF" w:rsidRPr="009B68D1">
        <w:rPr>
          <w:rFonts w:ascii="標楷體" w:eastAsia="標楷體" w:hAnsi="標楷體" w:cs="Times New Roman" w:hint="eastAsia"/>
          <w:kern w:val="0"/>
          <w:sz w:val="28"/>
          <w:szCs w:val="28"/>
        </w:rPr>
        <w:t>無實體登錄交付股數，</w:t>
      </w:r>
      <w:proofErr w:type="gramStart"/>
      <w:r w:rsidR="00F301EF" w:rsidRPr="009B68D1">
        <w:rPr>
          <w:rFonts w:ascii="標楷體" w:eastAsia="標楷體" w:hAnsi="標楷體" w:cs="Times New Roman" w:hint="eastAsia"/>
          <w:kern w:val="0"/>
          <w:sz w:val="28"/>
          <w:szCs w:val="28"/>
        </w:rPr>
        <w:t>可能因</w:t>
      </w:r>
      <w:r w:rsidR="00F301EF" w:rsidRPr="009B68D1">
        <w:rPr>
          <w:rFonts w:ascii="標楷體" w:eastAsia="標楷體" w:hAnsi="標楷體" w:cs="Times New Roman" w:hint="eastAsia"/>
          <w:noProof/>
          <w:kern w:val="0"/>
          <w:sz w:val="28"/>
          <w:szCs w:val="28"/>
        </w:rPr>
        <w:t>編製</w:t>
      </w:r>
      <w:proofErr w:type="gramEnd"/>
      <w:r w:rsidR="00F301EF" w:rsidRPr="009B68D1">
        <w:rPr>
          <w:rFonts w:ascii="標楷體" w:eastAsia="標楷體" w:hAnsi="標楷體" w:cs="Times New Roman" w:hint="eastAsia"/>
          <w:noProof/>
          <w:kern w:val="0"/>
          <w:sz w:val="28"/>
          <w:szCs w:val="28"/>
        </w:rPr>
        <w:t>計算基礎不同或有差異</w:t>
      </w:r>
      <w:r w:rsidR="00F301EF" w:rsidRPr="009B68D1">
        <w:rPr>
          <w:rFonts w:ascii="標楷體" w:eastAsia="標楷體" w:hAnsi="標楷體" w:cs="Times New Roman" w:hint="eastAsia"/>
          <w:kern w:val="0"/>
          <w:sz w:val="28"/>
          <w:szCs w:val="28"/>
        </w:rPr>
        <w:t>。</w:t>
      </w:r>
    </w:p>
    <w:p w14:paraId="57D65082" w14:textId="50446827" w:rsidR="00F301EF" w:rsidRPr="009B68D1" w:rsidRDefault="00F301EF" w:rsidP="009B68D1">
      <w:pPr>
        <w:adjustRightInd w:val="0"/>
        <w:snapToGrid w:val="0"/>
        <w:spacing w:line="500" w:lineRule="exact"/>
        <w:ind w:leftChars="196" w:left="1276" w:hangingChars="288" w:hanging="806"/>
        <w:jc w:val="both"/>
        <w:rPr>
          <w:rFonts w:ascii="標楷體" w:eastAsia="標楷體" w:hAnsi="標楷體" w:cs="Times New Roman"/>
          <w:noProof/>
          <w:kern w:val="0"/>
          <w:sz w:val="28"/>
          <w:szCs w:val="28"/>
        </w:rPr>
      </w:pPr>
      <w:r w:rsidRPr="009B68D1">
        <w:rPr>
          <w:rFonts w:ascii="標楷體" w:eastAsia="標楷體" w:hAnsi="標楷體" w:cs="Times New Roman" w:hint="eastAsia"/>
          <w:sz w:val="28"/>
          <w:szCs w:val="28"/>
        </w:rPr>
        <w:t>（二）</w:t>
      </w:r>
      <w:r w:rsidRPr="009B68D1">
        <w:rPr>
          <w:rFonts w:ascii="標楷體" w:eastAsia="標楷體" w:hAnsi="標楷體" w:cs="Times New Roman" w:hint="eastAsia"/>
          <w:noProof/>
          <w:kern w:val="0"/>
          <w:sz w:val="28"/>
          <w:szCs w:val="28"/>
        </w:rPr>
        <w:t>如屬股東將持股交付信託，係以受託人開立</w:t>
      </w:r>
      <w:r w:rsidRPr="009B68D1">
        <w:rPr>
          <w:rFonts w:ascii="標楷體" w:eastAsia="標楷體" w:hAnsi="標楷體" w:cs="Times New Roman" w:hint="eastAsia"/>
          <w:kern w:val="0"/>
          <w:sz w:val="28"/>
          <w:szCs w:val="28"/>
        </w:rPr>
        <w:t>信託專戶之委託人個別分戶揭示。至於股東</w:t>
      </w:r>
      <w:r w:rsidRPr="009B68D1">
        <w:rPr>
          <w:rFonts w:ascii="標楷體" w:eastAsia="標楷體" w:hAnsi="標楷體" w:cs="Times New Roman" w:hint="eastAsia"/>
          <w:noProof/>
          <w:kern w:val="0"/>
          <w:sz w:val="28"/>
          <w:szCs w:val="28"/>
        </w:rPr>
        <w:t>依據證券交易法令辦理</w:t>
      </w:r>
      <w:r w:rsidRPr="009B68D1">
        <w:rPr>
          <w:rFonts w:ascii="標楷體" w:eastAsia="標楷體" w:hAnsi="標楷體" w:cs="Times New Roman" w:hint="eastAsia"/>
          <w:kern w:val="0"/>
          <w:sz w:val="28"/>
          <w:szCs w:val="28"/>
        </w:rPr>
        <w:t>持股超過10%之</w:t>
      </w:r>
      <w:r w:rsidRPr="009B68D1">
        <w:rPr>
          <w:rFonts w:ascii="標楷體" w:eastAsia="標楷體" w:hAnsi="標楷體" w:cs="Times New Roman" w:hint="eastAsia"/>
          <w:noProof/>
          <w:kern w:val="0"/>
          <w:sz w:val="28"/>
          <w:szCs w:val="28"/>
        </w:rPr>
        <w:t>內部人股權申報，其持股包含本人持股加計其交付信託且對信託財產具有運用決定權股份等，有關內部人股權申報資料請參閱公開資訊觀測站。</w:t>
      </w:r>
    </w:p>
    <w:p w14:paraId="6B5C8B50" w14:textId="6A850DF4" w:rsidR="00F301EF" w:rsidRDefault="00F301EF" w:rsidP="009B68D1">
      <w:pPr>
        <w:adjustRightInd w:val="0"/>
        <w:snapToGrid w:val="0"/>
        <w:spacing w:line="500" w:lineRule="exact"/>
        <w:ind w:leftChars="196" w:left="1276" w:hangingChars="288" w:hanging="806"/>
        <w:jc w:val="both"/>
        <w:rPr>
          <w:rFonts w:ascii="標楷體" w:eastAsia="標楷體" w:hAnsi="標楷體" w:cs="Times New Roman"/>
          <w:noProof/>
          <w:kern w:val="0"/>
          <w:sz w:val="28"/>
          <w:szCs w:val="28"/>
        </w:rPr>
      </w:pPr>
      <w:r w:rsidRPr="009B68D1">
        <w:rPr>
          <w:rFonts w:ascii="標楷體" w:eastAsia="標楷體" w:hAnsi="標楷體" w:cs="Times New Roman" w:hint="eastAsia"/>
          <w:sz w:val="28"/>
          <w:szCs w:val="28"/>
        </w:rPr>
        <w:t>（三）</w:t>
      </w:r>
      <w:r w:rsidR="005826E8" w:rsidRPr="005826E8">
        <w:rPr>
          <w:rFonts w:ascii="標楷體" w:eastAsia="標楷體" w:hAnsi="標楷體" w:cs="Times New Roman" w:hint="eastAsia"/>
          <w:noProof/>
          <w:kern w:val="0"/>
          <w:sz w:val="28"/>
          <w:szCs w:val="28"/>
        </w:rPr>
        <w:t>比照股東臨時會停止過戶之證券所有人名冊(融券不回補)計算各信用交易餘額之分配。</w:t>
      </w:r>
    </w:p>
    <w:p w14:paraId="238A0165" w14:textId="2699561B" w:rsidR="005826E8" w:rsidRPr="009B68D1" w:rsidRDefault="005826E8" w:rsidP="009B68D1">
      <w:pPr>
        <w:adjustRightInd w:val="0"/>
        <w:snapToGrid w:val="0"/>
        <w:spacing w:line="500" w:lineRule="exact"/>
        <w:ind w:leftChars="196" w:left="1276" w:hangingChars="288" w:hanging="806"/>
        <w:jc w:val="both"/>
        <w:rPr>
          <w:rFonts w:ascii="標楷體" w:eastAsia="標楷體" w:hAnsi="標楷體" w:cs="Times New Roman"/>
          <w:noProof/>
          <w:kern w:val="0"/>
          <w:sz w:val="28"/>
          <w:szCs w:val="28"/>
        </w:rPr>
      </w:pPr>
      <w:r w:rsidRPr="009B68D1">
        <w:rPr>
          <w:rFonts w:ascii="標楷體" w:eastAsia="標楷體" w:hAnsi="標楷體" w:cs="Times New Roman" w:hint="eastAsia"/>
          <w:sz w:val="28"/>
          <w:szCs w:val="28"/>
        </w:rPr>
        <w:t>（四）</w:t>
      </w:r>
      <w:r w:rsidRPr="005826E8">
        <w:rPr>
          <w:rFonts w:ascii="標楷體" w:eastAsia="標楷體" w:hAnsi="標楷體" w:cs="Times New Roman" w:hint="eastAsia"/>
          <w:sz w:val="28"/>
          <w:szCs w:val="28"/>
        </w:rPr>
        <w:t>信託帳戶係以受託人之信託專戶統一編號及信託分戶編號為歸戶原則；信託分戶編號為空白者，不予歸戶處理。</w:t>
      </w:r>
    </w:p>
    <w:p w14:paraId="39270B3E" w14:textId="5FB5F0D5" w:rsidR="0092768F" w:rsidRPr="009B68D1" w:rsidRDefault="00F301EF" w:rsidP="009B68D1">
      <w:pPr>
        <w:adjustRightInd w:val="0"/>
        <w:snapToGrid w:val="0"/>
        <w:spacing w:line="500" w:lineRule="exact"/>
        <w:ind w:leftChars="196" w:left="1276" w:hangingChars="288" w:hanging="806"/>
        <w:jc w:val="both"/>
        <w:rPr>
          <w:rFonts w:ascii="標楷體" w:eastAsia="標楷體" w:hAnsi="標楷體" w:cs="Times New Roman"/>
          <w:sz w:val="28"/>
          <w:szCs w:val="28"/>
        </w:rPr>
      </w:pPr>
      <w:r w:rsidRPr="009B68D1">
        <w:rPr>
          <w:rFonts w:ascii="標楷體" w:eastAsia="標楷體" w:hAnsi="標楷體" w:cs="Times New Roman" w:hint="eastAsia"/>
          <w:sz w:val="28"/>
          <w:szCs w:val="28"/>
        </w:rPr>
        <w:t>（</w:t>
      </w:r>
      <w:r w:rsidR="005826E8">
        <w:rPr>
          <w:rFonts w:ascii="標楷體" w:eastAsia="標楷體" w:hAnsi="標楷體" w:cs="Times New Roman" w:hint="eastAsia"/>
          <w:sz w:val="28"/>
          <w:szCs w:val="28"/>
        </w:rPr>
        <w:t>五</w:t>
      </w:r>
      <w:r w:rsidRPr="009B68D1">
        <w:rPr>
          <w:rFonts w:ascii="標楷體" w:eastAsia="標楷體" w:hAnsi="標楷體" w:cs="Times New Roman" w:hint="eastAsia"/>
          <w:sz w:val="28"/>
          <w:szCs w:val="28"/>
        </w:rPr>
        <w:t>）</w:t>
      </w:r>
      <w:r w:rsidR="005826E8" w:rsidRPr="005826E8">
        <w:rPr>
          <w:rFonts w:ascii="標楷體" w:eastAsia="標楷體" w:hAnsi="標楷體" w:cs="Times New Roman" w:hint="eastAsia"/>
          <w:noProof/>
          <w:kern w:val="0"/>
          <w:sz w:val="28"/>
          <w:szCs w:val="28"/>
        </w:rPr>
        <w:t>股東持股比例(%)＝該股東持有普通股及特別股之總股數/已完成無實體登錄交付之普通股及特別股（含庫藏股）之總股數，且計算至百分比小數點2位，百分比小數點第3位以後無條件捨去。</w:t>
      </w:r>
    </w:p>
    <w:p w14:paraId="5C4C5436" w14:textId="0C86B632" w:rsidR="00D92A65" w:rsidRPr="009B68D1" w:rsidRDefault="00F301EF" w:rsidP="009B68D1">
      <w:pPr>
        <w:adjustRightInd w:val="0"/>
        <w:snapToGrid w:val="0"/>
        <w:spacing w:line="500" w:lineRule="exact"/>
        <w:rPr>
          <w:rFonts w:ascii="標楷體" w:eastAsia="標楷體" w:hAnsi="標楷體"/>
          <w:sz w:val="28"/>
          <w:szCs w:val="28"/>
        </w:rPr>
      </w:pPr>
      <w:r w:rsidRPr="009B68D1">
        <w:rPr>
          <w:rFonts w:ascii="標楷體" w:eastAsia="標楷體" w:hAnsi="標楷體" w:hint="eastAsia"/>
          <w:sz w:val="28"/>
          <w:szCs w:val="28"/>
        </w:rPr>
        <w:t>三、</w:t>
      </w:r>
      <w:r w:rsidR="00D92A65" w:rsidRPr="009B68D1">
        <w:rPr>
          <w:rFonts w:ascii="標楷體" w:eastAsia="標楷體" w:hAnsi="標楷體" w:hint="eastAsia"/>
          <w:sz w:val="28"/>
          <w:szCs w:val="28"/>
        </w:rPr>
        <w:t>報表欄位：</w:t>
      </w:r>
    </w:p>
    <w:p w14:paraId="6401A532" w14:textId="796CDD28" w:rsidR="00F301EF" w:rsidRPr="009B68D1" w:rsidRDefault="00F301EF" w:rsidP="009B68D1">
      <w:pPr>
        <w:adjustRightInd w:val="0"/>
        <w:snapToGrid w:val="0"/>
        <w:spacing w:line="500" w:lineRule="exact"/>
        <w:ind w:leftChars="196" w:left="1276" w:hangingChars="288" w:hanging="806"/>
        <w:jc w:val="both"/>
        <w:rPr>
          <w:rFonts w:ascii="標楷體" w:eastAsia="標楷體" w:hAnsi="標楷體"/>
          <w:sz w:val="28"/>
          <w:szCs w:val="28"/>
        </w:rPr>
      </w:pPr>
      <w:r w:rsidRPr="009B68D1">
        <w:rPr>
          <w:rFonts w:ascii="標楷體" w:eastAsia="標楷體" w:hAnsi="標楷體" w:cs="Times New Roman" w:hint="eastAsia"/>
          <w:sz w:val="28"/>
          <w:szCs w:val="28"/>
        </w:rPr>
        <w:t>（一）</w:t>
      </w:r>
      <w:r w:rsidRPr="009B68D1">
        <w:rPr>
          <w:rFonts w:ascii="標楷體" w:eastAsia="標楷體" w:hAnsi="標楷體" w:hint="eastAsia"/>
          <w:sz w:val="28"/>
          <w:szCs w:val="28"/>
        </w:rPr>
        <w:t>身分證字號/統一編號：</w:t>
      </w:r>
    </w:p>
    <w:p w14:paraId="5AEF05A8" w14:textId="16CB8550" w:rsidR="00F301EF" w:rsidRPr="009B68D1" w:rsidRDefault="00F301EF" w:rsidP="009B68D1">
      <w:pPr>
        <w:adjustRightInd w:val="0"/>
        <w:snapToGrid w:val="0"/>
        <w:spacing w:line="500" w:lineRule="exact"/>
        <w:ind w:leftChars="482" w:left="1157" w:firstLineChars="48" w:firstLine="134"/>
        <w:jc w:val="both"/>
        <w:rPr>
          <w:rFonts w:ascii="標楷體" w:eastAsia="標楷體" w:hAnsi="標楷體"/>
          <w:sz w:val="28"/>
          <w:szCs w:val="28"/>
        </w:rPr>
      </w:pPr>
      <w:r w:rsidRPr="009B68D1">
        <w:rPr>
          <w:rFonts w:ascii="標楷體" w:eastAsia="標楷體" w:hAnsi="標楷體" w:hint="eastAsia"/>
          <w:sz w:val="28"/>
          <w:szCs w:val="28"/>
        </w:rPr>
        <w:t>1.係指股東</w:t>
      </w:r>
      <w:r w:rsidR="003450C5" w:rsidRPr="009B68D1">
        <w:rPr>
          <w:rFonts w:ascii="標楷體" w:eastAsia="標楷體" w:hAnsi="標楷體" w:hint="eastAsia"/>
          <w:sz w:val="28"/>
          <w:szCs w:val="28"/>
        </w:rPr>
        <w:t>開設帳戶之</w:t>
      </w:r>
      <w:r w:rsidRPr="009B68D1">
        <w:rPr>
          <w:rFonts w:ascii="標楷體" w:eastAsia="標楷體" w:hAnsi="標楷體" w:hint="eastAsia"/>
          <w:sz w:val="28"/>
          <w:szCs w:val="28"/>
        </w:rPr>
        <w:t>ID。</w:t>
      </w:r>
    </w:p>
    <w:p w14:paraId="606D40EA" w14:textId="193D2CDE" w:rsidR="00F301EF" w:rsidRPr="009B68D1" w:rsidRDefault="00F301EF" w:rsidP="009B68D1">
      <w:pPr>
        <w:adjustRightInd w:val="0"/>
        <w:snapToGrid w:val="0"/>
        <w:spacing w:line="500" w:lineRule="exact"/>
        <w:ind w:leftChars="482" w:left="1157" w:firstLineChars="48" w:firstLine="134"/>
        <w:jc w:val="both"/>
        <w:rPr>
          <w:rFonts w:ascii="標楷體" w:eastAsia="標楷體" w:hAnsi="標楷體"/>
          <w:sz w:val="28"/>
          <w:szCs w:val="28"/>
        </w:rPr>
      </w:pPr>
      <w:r w:rsidRPr="009B68D1">
        <w:rPr>
          <w:rFonts w:ascii="標楷體" w:eastAsia="標楷體" w:hAnsi="標楷體" w:hint="eastAsia"/>
          <w:sz w:val="28"/>
          <w:szCs w:val="28"/>
        </w:rPr>
        <w:t>2.提供全稱不遮罩。</w:t>
      </w:r>
    </w:p>
    <w:p w14:paraId="2E2B6CD3" w14:textId="7C95AF8F" w:rsidR="00F301EF" w:rsidRPr="009B68D1" w:rsidRDefault="00F301EF" w:rsidP="009B68D1">
      <w:pPr>
        <w:adjustRightInd w:val="0"/>
        <w:snapToGrid w:val="0"/>
        <w:spacing w:line="500" w:lineRule="exact"/>
        <w:ind w:leftChars="196" w:left="1276" w:hangingChars="288" w:hanging="806"/>
        <w:jc w:val="both"/>
        <w:rPr>
          <w:rFonts w:ascii="標楷體" w:eastAsia="標楷體" w:hAnsi="標楷體"/>
          <w:sz w:val="28"/>
          <w:szCs w:val="28"/>
        </w:rPr>
      </w:pPr>
      <w:r w:rsidRPr="009B68D1">
        <w:rPr>
          <w:rFonts w:ascii="標楷體" w:eastAsia="標楷體" w:hAnsi="標楷體" w:cs="Times New Roman" w:hint="eastAsia"/>
          <w:sz w:val="28"/>
          <w:szCs w:val="28"/>
        </w:rPr>
        <w:t>（二）</w:t>
      </w:r>
      <w:r w:rsidRPr="009B68D1">
        <w:rPr>
          <w:rFonts w:ascii="標楷體" w:eastAsia="標楷體" w:hAnsi="標楷體" w:hint="eastAsia"/>
          <w:sz w:val="28"/>
          <w:szCs w:val="28"/>
        </w:rPr>
        <w:t>戶名：</w:t>
      </w:r>
    </w:p>
    <w:p w14:paraId="1D6F43C6" w14:textId="4B16DA72" w:rsidR="00F301EF" w:rsidRPr="009B68D1" w:rsidRDefault="00F301EF" w:rsidP="009B68D1">
      <w:pPr>
        <w:adjustRightInd w:val="0"/>
        <w:snapToGrid w:val="0"/>
        <w:spacing w:line="500" w:lineRule="exact"/>
        <w:ind w:leftChars="482" w:left="1157" w:firstLineChars="48" w:firstLine="134"/>
        <w:jc w:val="both"/>
        <w:rPr>
          <w:rFonts w:ascii="標楷體" w:eastAsia="標楷體" w:hAnsi="標楷體"/>
          <w:sz w:val="28"/>
          <w:szCs w:val="28"/>
        </w:rPr>
      </w:pPr>
      <w:r w:rsidRPr="009B68D1">
        <w:rPr>
          <w:rFonts w:ascii="標楷體" w:eastAsia="標楷體" w:hAnsi="標楷體" w:hint="eastAsia"/>
          <w:sz w:val="28"/>
          <w:szCs w:val="28"/>
        </w:rPr>
        <w:t>1.係指股東開設帳戶之名稱。</w:t>
      </w:r>
    </w:p>
    <w:p w14:paraId="5087C2FE" w14:textId="1B06CDA2" w:rsidR="00F301EF" w:rsidRPr="009B68D1" w:rsidRDefault="00F301EF" w:rsidP="009B68D1">
      <w:pPr>
        <w:adjustRightInd w:val="0"/>
        <w:snapToGrid w:val="0"/>
        <w:spacing w:line="500" w:lineRule="exact"/>
        <w:ind w:leftChars="482" w:left="1157" w:firstLineChars="48" w:firstLine="134"/>
        <w:jc w:val="both"/>
        <w:rPr>
          <w:rFonts w:ascii="標楷體" w:eastAsia="標楷體" w:hAnsi="標楷體"/>
          <w:sz w:val="28"/>
          <w:szCs w:val="28"/>
        </w:rPr>
      </w:pPr>
      <w:r w:rsidRPr="009B68D1">
        <w:rPr>
          <w:rFonts w:ascii="標楷體" w:eastAsia="標楷體" w:hAnsi="標楷體" w:hint="eastAsia"/>
          <w:sz w:val="28"/>
          <w:szCs w:val="28"/>
        </w:rPr>
        <w:t>2.提供全稱不遮罩。</w:t>
      </w:r>
    </w:p>
    <w:p w14:paraId="6F0B79C5" w14:textId="2300FFC5" w:rsidR="00F301EF" w:rsidRPr="009B68D1" w:rsidRDefault="00F301EF" w:rsidP="009B68D1">
      <w:pPr>
        <w:adjustRightInd w:val="0"/>
        <w:snapToGrid w:val="0"/>
        <w:spacing w:line="500" w:lineRule="exact"/>
        <w:ind w:leftChars="530" w:left="1502" w:hangingChars="82" w:hanging="230"/>
        <w:jc w:val="both"/>
        <w:rPr>
          <w:rFonts w:ascii="標楷體" w:eastAsia="標楷體" w:hAnsi="標楷體"/>
          <w:sz w:val="28"/>
          <w:szCs w:val="28"/>
        </w:rPr>
      </w:pPr>
      <w:r w:rsidRPr="009B68D1">
        <w:rPr>
          <w:rFonts w:ascii="標楷體" w:eastAsia="標楷體" w:hAnsi="標楷體" w:hint="eastAsia"/>
          <w:sz w:val="28"/>
          <w:szCs w:val="28"/>
        </w:rPr>
        <w:lastRenderedPageBreak/>
        <w:t>3.</w:t>
      </w:r>
      <w:bookmarkStart w:id="1" w:name="_Hlk33914606"/>
      <w:r w:rsidRPr="009B68D1">
        <w:rPr>
          <w:rFonts w:ascii="標楷體" w:eastAsia="標楷體" w:hAnsi="標楷體" w:hint="eastAsia"/>
          <w:sz w:val="28"/>
          <w:szCs w:val="28"/>
        </w:rPr>
        <w:t>股東</w:t>
      </w:r>
      <w:bookmarkEnd w:id="1"/>
      <w:r w:rsidRPr="009B68D1">
        <w:rPr>
          <w:rFonts w:ascii="標楷體" w:eastAsia="標楷體" w:hAnsi="標楷體" w:hint="eastAsia"/>
          <w:sz w:val="28"/>
          <w:szCs w:val="28"/>
        </w:rPr>
        <w:t>開設</w:t>
      </w:r>
      <w:r w:rsidR="0074217D" w:rsidRPr="009B68D1">
        <w:rPr>
          <w:rFonts w:ascii="標楷體" w:eastAsia="標楷體" w:hAnsi="標楷體" w:hint="eastAsia"/>
          <w:sz w:val="28"/>
          <w:szCs w:val="28"/>
        </w:rPr>
        <w:t>之</w:t>
      </w:r>
      <w:r w:rsidRPr="009B68D1">
        <w:rPr>
          <w:rFonts w:ascii="標楷體" w:eastAsia="標楷體" w:hAnsi="標楷體" w:hint="eastAsia"/>
          <w:sz w:val="28"/>
          <w:szCs w:val="28"/>
        </w:rPr>
        <w:t>帳戶</w:t>
      </w:r>
      <w:r w:rsidR="003450C5" w:rsidRPr="009B68D1">
        <w:rPr>
          <w:rFonts w:ascii="標楷體" w:eastAsia="標楷體" w:hAnsi="標楷體" w:hint="eastAsia"/>
          <w:sz w:val="28"/>
          <w:szCs w:val="28"/>
        </w:rPr>
        <w:t>有維護長戶名者，以長戶名列示，否則以基本資料戶名列示。</w:t>
      </w:r>
    </w:p>
    <w:p w14:paraId="79BFCC3E" w14:textId="4B422A2A" w:rsidR="003450C5" w:rsidRPr="009B68D1" w:rsidRDefault="003450C5" w:rsidP="009B68D1">
      <w:pPr>
        <w:adjustRightInd w:val="0"/>
        <w:snapToGrid w:val="0"/>
        <w:spacing w:line="500" w:lineRule="exact"/>
        <w:ind w:leftChars="530" w:left="1502" w:hangingChars="82" w:hanging="230"/>
        <w:jc w:val="both"/>
        <w:rPr>
          <w:rFonts w:ascii="標楷體" w:eastAsia="標楷體" w:hAnsi="標楷體"/>
          <w:sz w:val="28"/>
          <w:szCs w:val="28"/>
        </w:rPr>
      </w:pPr>
      <w:r w:rsidRPr="009B68D1">
        <w:rPr>
          <w:rFonts w:ascii="標楷體" w:eastAsia="標楷體" w:hAnsi="標楷體" w:hint="eastAsia"/>
          <w:sz w:val="28"/>
          <w:szCs w:val="28"/>
        </w:rPr>
        <w:t>4.股東於證券商保管劃撥帳戶、發行人一般保管帳戶或登錄專戶，同時有相同ID之帳戶時，以證券商</w:t>
      </w:r>
      <w:r w:rsidR="0074217D" w:rsidRPr="009B68D1">
        <w:rPr>
          <w:rFonts w:ascii="標楷體" w:eastAsia="標楷體" w:hAnsi="標楷體" w:hint="eastAsia"/>
          <w:sz w:val="28"/>
          <w:szCs w:val="28"/>
        </w:rPr>
        <w:t>保管劃撥帳戶</w:t>
      </w:r>
      <w:r w:rsidRPr="009B68D1">
        <w:rPr>
          <w:rFonts w:ascii="標楷體" w:eastAsia="標楷體" w:hAnsi="標楷體" w:hint="eastAsia"/>
          <w:sz w:val="28"/>
          <w:szCs w:val="28"/>
        </w:rPr>
        <w:t>所維護</w:t>
      </w:r>
      <w:r w:rsidR="00595FC6" w:rsidRPr="009B68D1">
        <w:rPr>
          <w:rFonts w:ascii="標楷體" w:eastAsia="標楷體" w:hAnsi="標楷體" w:hint="eastAsia"/>
          <w:sz w:val="28"/>
          <w:szCs w:val="28"/>
        </w:rPr>
        <w:t>之戶名</w:t>
      </w:r>
      <w:r w:rsidRPr="009B68D1">
        <w:rPr>
          <w:rFonts w:ascii="標楷體" w:eastAsia="標楷體" w:hAnsi="標楷體" w:hint="eastAsia"/>
          <w:sz w:val="28"/>
          <w:szCs w:val="28"/>
        </w:rPr>
        <w:t>列示</w:t>
      </w:r>
      <w:r w:rsidR="0074217D" w:rsidRPr="009B68D1">
        <w:rPr>
          <w:rFonts w:ascii="標楷體" w:eastAsia="標楷體" w:hAnsi="標楷體" w:hint="eastAsia"/>
          <w:sz w:val="28"/>
          <w:szCs w:val="28"/>
        </w:rPr>
        <w:t>，且以帳戶之帳號排序最大者之戶名列示</w:t>
      </w:r>
      <w:r w:rsidRPr="009B68D1">
        <w:rPr>
          <w:rFonts w:ascii="標楷體" w:eastAsia="標楷體" w:hAnsi="標楷體" w:hint="eastAsia"/>
          <w:sz w:val="28"/>
          <w:szCs w:val="28"/>
        </w:rPr>
        <w:t>。</w:t>
      </w:r>
    </w:p>
    <w:p w14:paraId="52FA9638" w14:textId="1E4B6127" w:rsidR="00F301EF" w:rsidRPr="009B68D1" w:rsidRDefault="00F301EF" w:rsidP="009B68D1">
      <w:pPr>
        <w:adjustRightInd w:val="0"/>
        <w:snapToGrid w:val="0"/>
        <w:spacing w:line="500" w:lineRule="exact"/>
        <w:ind w:leftChars="196" w:left="1276" w:hangingChars="288" w:hanging="806"/>
        <w:jc w:val="both"/>
        <w:rPr>
          <w:rFonts w:ascii="標楷體" w:eastAsia="標楷體" w:hAnsi="標楷體" w:cs="Times New Roman"/>
          <w:noProof/>
          <w:kern w:val="0"/>
          <w:sz w:val="28"/>
          <w:szCs w:val="28"/>
        </w:rPr>
      </w:pPr>
      <w:bookmarkStart w:id="2" w:name="_Hlk33915736"/>
      <w:r w:rsidRPr="009B68D1">
        <w:rPr>
          <w:rFonts w:ascii="標楷體" w:eastAsia="標楷體" w:hAnsi="標楷體" w:cs="Times New Roman" w:hint="eastAsia"/>
          <w:sz w:val="28"/>
          <w:szCs w:val="28"/>
        </w:rPr>
        <w:t>（三）</w:t>
      </w:r>
      <w:bookmarkEnd w:id="2"/>
      <w:r w:rsidR="0074217D" w:rsidRPr="009B68D1">
        <w:rPr>
          <w:rFonts w:ascii="標楷體" w:eastAsia="標楷體" w:hAnsi="標楷體" w:hint="eastAsia"/>
          <w:sz w:val="28"/>
          <w:szCs w:val="28"/>
        </w:rPr>
        <w:t>普通股股數：</w:t>
      </w:r>
    </w:p>
    <w:p w14:paraId="2AFACE15" w14:textId="26D40713" w:rsidR="0074217D" w:rsidRPr="009B68D1" w:rsidRDefault="0074217D" w:rsidP="009B68D1">
      <w:pPr>
        <w:adjustRightInd w:val="0"/>
        <w:snapToGrid w:val="0"/>
        <w:spacing w:line="500" w:lineRule="exact"/>
        <w:ind w:leftChars="532" w:left="1607" w:hangingChars="118" w:hanging="330"/>
        <w:jc w:val="both"/>
        <w:rPr>
          <w:rFonts w:ascii="標楷體" w:eastAsia="標楷體" w:hAnsi="標楷體"/>
          <w:sz w:val="28"/>
          <w:szCs w:val="28"/>
        </w:rPr>
      </w:pPr>
      <w:bookmarkStart w:id="3" w:name="_Hlk33915772"/>
      <w:r w:rsidRPr="009B68D1">
        <w:rPr>
          <w:rFonts w:ascii="標楷體" w:eastAsia="標楷體" w:hAnsi="標楷體" w:hint="eastAsia"/>
          <w:sz w:val="28"/>
          <w:szCs w:val="28"/>
        </w:rPr>
        <w:t>1.係指股東帳戶於資料日</w:t>
      </w:r>
      <w:proofErr w:type="gramStart"/>
      <w:r w:rsidRPr="009B68D1">
        <w:rPr>
          <w:rFonts w:ascii="標楷體" w:eastAsia="標楷體" w:hAnsi="標楷體" w:hint="eastAsia"/>
          <w:sz w:val="28"/>
          <w:szCs w:val="28"/>
        </w:rPr>
        <w:t>歸戶後</w:t>
      </w:r>
      <w:proofErr w:type="gramEnd"/>
      <w:r w:rsidRPr="009B68D1">
        <w:rPr>
          <w:rFonts w:ascii="標楷體" w:eastAsia="標楷體" w:hAnsi="標楷體" w:hint="eastAsia"/>
          <w:sz w:val="28"/>
          <w:szCs w:val="28"/>
        </w:rPr>
        <w:t>，持有公司</w:t>
      </w:r>
      <w:r w:rsidRPr="009B68D1">
        <w:rPr>
          <w:rFonts w:ascii="標楷體" w:eastAsia="標楷體" w:hAnsi="標楷體" w:cs="Times New Roman" w:hint="eastAsia"/>
          <w:kern w:val="0"/>
          <w:sz w:val="28"/>
          <w:szCs w:val="28"/>
        </w:rPr>
        <w:t>已</w:t>
      </w:r>
      <w:r w:rsidRPr="009B68D1">
        <w:rPr>
          <w:rFonts w:ascii="標楷體" w:eastAsia="標楷體" w:hAnsi="標楷體" w:cs="Times New Roman" w:hint="eastAsia"/>
          <w:noProof/>
          <w:kern w:val="0"/>
          <w:sz w:val="28"/>
          <w:szCs w:val="28"/>
        </w:rPr>
        <w:t>完成</w:t>
      </w:r>
      <w:r w:rsidRPr="009B68D1">
        <w:rPr>
          <w:rFonts w:ascii="標楷體" w:eastAsia="標楷體" w:hAnsi="標楷體" w:cs="Times New Roman" w:hint="eastAsia"/>
          <w:kern w:val="0"/>
          <w:sz w:val="28"/>
          <w:szCs w:val="28"/>
        </w:rPr>
        <w:t>無實體登錄交付</w:t>
      </w:r>
      <w:r w:rsidRPr="009B68D1">
        <w:rPr>
          <w:rFonts w:ascii="標楷體" w:eastAsia="標楷體" w:hAnsi="標楷體" w:hint="eastAsia"/>
          <w:sz w:val="28"/>
          <w:szCs w:val="28"/>
        </w:rPr>
        <w:t>之普通股股數，</w:t>
      </w:r>
      <w:proofErr w:type="gramStart"/>
      <w:r w:rsidRPr="009B68D1">
        <w:rPr>
          <w:rFonts w:ascii="標楷體" w:eastAsia="標楷體" w:hAnsi="標楷體" w:hint="eastAsia"/>
          <w:sz w:val="28"/>
          <w:szCs w:val="28"/>
        </w:rPr>
        <w:t>且</w:t>
      </w:r>
      <w:r w:rsidRPr="009B68D1">
        <w:rPr>
          <w:rFonts w:ascii="標楷體" w:eastAsia="標楷體" w:hAnsi="標楷體" w:cs="Times New Roman" w:hint="eastAsia"/>
          <w:kern w:val="0"/>
          <w:sz w:val="28"/>
          <w:szCs w:val="28"/>
        </w:rPr>
        <w:t>含私募</w:t>
      </w:r>
      <w:proofErr w:type="gramEnd"/>
      <w:r w:rsidRPr="009B68D1">
        <w:rPr>
          <w:rFonts w:ascii="標楷體" w:eastAsia="標楷體" w:hAnsi="標楷體" w:cs="Times New Roman" w:hint="eastAsia"/>
          <w:kern w:val="0"/>
          <w:sz w:val="28"/>
          <w:szCs w:val="28"/>
        </w:rPr>
        <w:t>股數</w:t>
      </w:r>
      <w:r w:rsidRPr="009B68D1">
        <w:rPr>
          <w:rFonts w:ascii="標楷體" w:eastAsia="標楷體" w:hAnsi="標楷體" w:hint="eastAsia"/>
          <w:sz w:val="28"/>
          <w:szCs w:val="28"/>
        </w:rPr>
        <w:t>。</w:t>
      </w:r>
    </w:p>
    <w:p w14:paraId="72C0C08F" w14:textId="4EA71A1E" w:rsidR="0074217D" w:rsidRPr="009B68D1" w:rsidRDefault="0074217D" w:rsidP="009B68D1">
      <w:pPr>
        <w:adjustRightInd w:val="0"/>
        <w:snapToGrid w:val="0"/>
        <w:spacing w:line="500" w:lineRule="exact"/>
        <w:ind w:leftChars="532" w:left="1607" w:hangingChars="118" w:hanging="330"/>
        <w:jc w:val="both"/>
        <w:rPr>
          <w:rFonts w:ascii="標楷體" w:eastAsia="標楷體" w:hAnsi="標楷體"/>
          <w:sz w:val="28"/>
          <w:szCs w:val="28"/>
        </w:rPr>
      </w:pPr>
      <w:r w:rsidRPr="009B68D1">
        <w:rPr>
          <w:rFonts w:ascii="標楷體" w:eastAsia="標楷體" w:hAnsi="標楷體" w:hint="eastAsia"/>
          <w:sz w:val="28"/>
          <w:szCs w:val="28"/>
        </w:rPr>
        <w:t>2.</w:t>
      </w:r>
      <w:r w:rsidR="00277B9C" w:rsidRPr="009B68D1">
        <w:rPr>
          <w:rFonts w:ascii="標楷體" w:eastAsia="標楷體" w:hAnsi="標楷體" w:hint="eastAsia"/>
          <w:sz w:val="28"/>
          <w:szCs w:val="28"/>
        </w:rPr>
        <w:t>股東有融資買進餘額者，依證券交易所「臨時股東會計算融資人過戶股數作業要點」計算股數。</w:t>
      </w:r>
    </w:p>
    <w:p w14:paraId="019F4735" w14:textId="34267D97" w:rsidR="00455EE7" w:rsidRPr="009B68D1" w:rsidRDefault="00277B9C" w:rsidP="009B68D1">
      <w:pPr>
        <w:adjustRightInd w:val="0"/>
        <w:snapToGrid w:val="0"/>
        <w:spacing w:line="500" w:lineRule="exact"/>
        <w:ind w:leftChars="196" w:left="1276" w:hangingChars="288" w:hanging="806"/>
        <w:jc w:val="both"/>
        <w:rPr>
          <w:rFonts w:ascii="標楷體" w:eastAsia="標楷體" w:hAnsi="標楷體"/>
          <w:sz w:val="28"/>
          <w:szCs w:val="28"/>
        </w:rPr>
      </w:pPr>
      <w:bookmarkStart w:id="4" w:name="_Hlk33915865"/>
      <w:bookmarkEnd w:id="3"/>
      <w:r w:rsidRPr="009B68D1">
        <w:rPr>
          <w:rFonts w:ascii="標楷體" w:eastAsia="標楷體" w:hAnsi="標楷體" w:cs="Times New Roman" w:hint="eastAsia"/>
          <w:sz w:val="28"/>
          <w:szCs w:val="28"/>
        </w:rPr>
        <w:t>（四）</w:t>
      </w:r>
      <w:r w:rsidRPr="009B68D1">
        <w:rPr>
          <w:rFonts w:ascii="標楷體" w:eastAsia="標楷體" w:hAnsi="標楷體" w:hint="eastAsia"/>
          <w:sz w:val="28"/>
          <w:szCs w:val="28"/>
        </w:rPr>
        <w:t>特別股股數</w:t>
      </w:r>
      <w:r w:rsidR="00455EE7" w:rsidRPr="009B68D1">
        <w:rPr>
          <w:rFonts w:ascii="標楷體" w:eastAsia="標楷體" w:hAnsi="標楷體" w:hint="eastAsia"/>
          <w:sz w:val="28"/>
          <w:szCs w:val="28"/>
        </w:rPr>
        <w:t>：</w:t>
      </w:r>
    </w:p>
    <w:bookmarkEnd w:id="4"/>
    <w:p w14:paraId="71A773F9" w14:textId="7F6A5B71" w:rsidR="00277B9C" w:rsidRPr="009B68D1" w:rsidRDefault="00277B9C" w:rsidP="009B68D1">
      <w:pPr>
        <w:adjustRightInd w:val="0"/>
        <w:snapToGrid w:val="0"/>
        <w:spacing w:line="500" w:lineRule="exact"/>
        <w:ind w:leftChars="532" w:left="1607" w:hangingChars="118" w:hanging="330"/>
        <w:jc w:val="both"/>
        <w:rPr>
          <w:rFonts w:ascii="標楷體" w:eastAsia="標楷體" w:hAnsi="標楷體"/>
          <w:sz w:val="28"/>
          <w:szCs w:val="28"/>
        </w:rPr>
      </w:pPr>
      <w:r w:rsidRPr="009B68D1">
        <w:rPr>
          <w:rFonts w:ascii="標楷體" w:eastAsia="標楷體" w:hAnsi="標楷體" w:hint="eastAsia"/>
          <w:sz w:val="28"/>
          <w:szCs w:val="28"/>
        </w:rPr>
        <w:t>1.係指股東帳戶於資料日</w:t>
      </w:r>
      <w:proofErr w:type="gramStart"/>
      <w:r w:rsidRPr="009B68D1">
        <w:rPr>
          <w:rFonts w:ascii="標楷體" w:eastAsia="標楷體" w:hAnsi="標楷體" w:hint="eastAsia"/>
          <w:sz w:val="28"/>
          <w:szCs w:val="28"/>
        </w:rPr>
        <w:t>歸戶後</w:t>
      </w:r>
      <w:proofErr w:type="gramEnd"/>
      <w:r w:rsidRPr="009B68D1">
        <w:rPr>
          <w:rFonts w:ascii="標楷體" w:eastAsia="標楷體" w:hAnsi="標楷體" w:hint="eastAsia"/>
          <w:sz w:val="28"/>
          <w:szCs w:val="28"/>
        </w:rPr>
        <w:t>，持有公司</w:t>
      </w:r>
      <w:r w:rsidRPr="009B68D1">
        <w:rPr>
          <w:rFonts w:ascii="標楷體" w:eastAsia="標楷體" w:hAnsi="標楷體" w:cs="Times New Roman" w:hint="eastAsia"/>
          <w:kern w:val="0"/>
          <w:sz w:val="28"/>
          <w:szCs w:val="28"/>
        </w:rPr>
        <w:t>已</w:t>
      </w:r>
      <w:r w:rsidRPr="009B68D1">
        <w:rPr>
          <w:rFonts w:ascii="標楷體" w:eastAsia="標楷體" w:hAnsi="標楷體" w:cs="Times New Roman" w:hint="eastAsia"/>
          <w:noProof/>
          <w:kern w:val="0"/>
          <w:sz w:val="28"/>
          <w:szCs w:val="28"/>
        </w:rPr>
        <w:t>完成</w:t>
      </w:r>
      <w:r w:rsidRPr="009B68D1">
        <w:rPr>
          <w:rFonts w:ascii="標楷體" w:eastAsia="標楷體" w:hAnsi="標楷體" w:cs="Times New Roman" w:hint="eastAsia"/>
          <w:kern w:val="0"/>
          <w:sz w:val="28"/>
          <w:szCs w:val="28"/>
        </w:rPr>
        <w:t>無實體登錄交付</w:t>
      </w:r>
      <w:r w:rsidRPr="009B68D1">
        <w:rPr>
          <w:rFonts w:ascii="標楷體" w:eastAsia="標楷體" w:hAnsi="標楷體" w:hint="eastAsia"/>
          <w:sz w:val="28"/>
          <w:szCs w:val="28"/>
        </w:rPr>
        <w:t>之全部特別股股數，</w:t>
      </w:r>
      <w:proofErr w:type="gramStart"/>
      <w:r w:rsidRPr="009B68D1">
        <w:rPr>
          <w:rFonts w:ascii="標楷體" w:eastAsia="標楷體" w:hAnsi="標楷體" w:hint="eastAsia"/>
          <w:sz w:val="28"/>
          <w:szCs w:val="28"/>
        </w:rPr>
        <w:t>且</w:t>
      </w:r>
      <w:r w:rsidRPr="009B68D1">
        <w:rPr>
          <w:rFonts w:ascii="標楷體" w:eastAsia="標楷體" w:hAnsi="標楷體" w:cs="Times New Roman" w:hint="eastAsia"/>
          <w:kern w:val="0"/>
          <w:sz w:val="28"/>
          <w:szCs w:val="28"/>
        </w:rPr>
        <w:t>含私募</w:t>
      </w:r>
      <w:proofErr w:type="gramEnd"/>
      <w:r w:rsidRPr="009B68D1">
        <w:rPr>
          <w:rFonts w:ascii="標楷體" w:eastAsia="標楷體" w:hAnsi="標楷體" w:cs="Times New Roman" w:hint="eastAsia"/>
          <w:kern w:val="0"/>
          <w:sz w:val="28"/>
          <w:szCs w:val="28"/>
        </w:rPr>
        <w:t>股數</w:t>
      </w:r>
      <w:r w:rsidRPr="009B68D1">
        <w:rPr>
          <w:rFonts w:ascii="標楷體" w:eastAsia="標楷體" w:hAnsi="標楷體" w:hint="eastAsia"/>
          <w:sz w:val="28"/>
          <w:szCs w:val="28"/>
        </w:rPr>
        <w:t>。</w:t>
      </w:r>
    </w:p>
    <w:p w14:paraId="4019023B" w14:textId="2E42FE2E" w:rsidR="00277B9C" w:rsidRPr="009B68D1" w:rsidRDefault="00277B9C" w:rsidP="009B68D1">
      <w:pPr>
        <w:adjustRightInd w:val="0"/>
        <w:snapToGrid w:val="0"/>
        <w:spacing w:line="500" w:lineRule="exact"/>
        <w:ind w:leftChars="532" w:left="1607" w:hangingChars="118" w:hanging="330"/>
        <w:jc w:val="both"/>
        <w:rPr>
          <w:rFonts w:ascii="標楷體" w:eastAsia="標楷體" w:hAnsi="標楷體"/>
          <w:sz w:val="28"/>
          <w:szCs w:val="28"/>
        </w:rPr>
      </w:pPr>
      <w:r w:rsidRPr="009B68D1">
        <w:rPr>
          <w:rFonts w:ascii="標楷體" w:eastAsia="標楷體" w:hAnsi="標楷體" w:hint="eastAsia"/>
          <w:sz w:val="28"/>
          <w:szCs w:val="28"/>
        </w:rPr>
        <w:t>2.股東有融資買進餘額者，依證券交易所「臨時股東會計算融資人過戶股數作業要點」計算股數。</w:t>
      </w:r>
    </w:p>
    <w:p w14:paraId="7A227F02" w14:textId="75421248" w:rsidR="00277B9C" w:rsidRPr="009B68D1" w:rsidRDefault="00277B9C" w:rsidP="009B68D1">
      <w:pPr>
        <w:adjustRightInd w:val="0"/>
        <w:snapToGrid w:val="0"/>
        <w:spacing w:line="500" w:lineRule="exact"/>
        <w:ind w:leftChars="196" w:left="1276" w:hangingChars="288" w:hanging="806"/>
        <w:jc w:val="both"/>
        <w:rPr>
          <w:rFonts w:ascii="標楷體" w:eastAsia="標楷體" w:hAnsi="標楷體"/>
          <w:sz w:val="28"/>
          <w:szCs w:val="28"/>
        </w:rPr>
      </w:pPr>
      <w:r w:rsidRPr="009B68D1">
        <w:rPr>
          <w:rFonts w:ascii="標楷體" w:eastAsia="標楷體" w:hAnsi="標楷體" w:cs="Times New Roman" w:hint="eastAsia"/>
          <w:sz w:val="28"/>
          <w:szCs w:val="28"/>
        </w:rPr>
        <w:t>（五）</w:t>
      </w:r>
      <w:r w:rsidRPr="009B68D1">
        <w:rPr>
          <w:rFonts w:ascii="標楷體" w:eastAsia="標楷體" w:hAnsi="標楷體" w:hint="eastAsia"/>
          <w:sz w:val="28"/>
          <w:szCs w:val="28"/>
        </w:rPr>
        <w:t>持有總股數：</w:t>
      </w:r>
    </w:p>
    <w:p w14:paraId="067EEB47" w14:textId="57627191" w:rsidR="00277B9C" w:rsidRPr="009B68D1" w:rsidRDefault="00277B9C" w:rsidP="009B68D1">
      <w:pPr>
        <w:adjustRightInd w:val="0"/>
        <w:snapToGrid w:val="0"/>
        <w:spacing w:line="500" w:lineRule="exact"/>
        <w:ind w:leftChars="532" w:left="1607" w:hangingChars="118" w:hanging="330"/>
        <w:jc w:val="both"/>
        <w:rPr>
          <w:rFonts w:ascii="標楷體" w:eastAsia="標楷體" w:hAnsi="標楷體"/>
          <w:sz w:val="28"/>
          <w:szCs w:val="28"/>
        </w:rPr>
      </w:pPr>
      <w:r w:rsidRPr="009B68D1">
        <w:rPr>
          <w:rFonts w:ascii="標楷體" w:eastAsia="標楷體" w:hAnsi="標楷體" w:hint="eastAsia"/>
          <w:sz w:val="28"/>
          <w:szCs w:val="28"/>
        </w:rPr>
        <w:t>係指普通股股數及全部特別股股數加總。</w:t>
      </w:r>
    </w:p>
    <w:p w14:paraId="022A26DA" w14:textId="5BA70452" w:rsidR="00277B9C" w:rsidRPr="009B68D1" w:rsidRDefault="00277B9C" w:rsidP="009B68D1">
      <w:pPr>
        <w:adjustRightInd w:val="0"/>
        <w:snapToGrid w:val="0"/>
        <w:spacing w:line="500" w:lineRule="exact"/>
        <w:ind w:leftChars="196" w:left="1276" w:hangingChars="288" w:hanging="806"/>
        <w:jc w:val="both"/>
        <w:rPr>
          <w:rFonts w:ascii="標楷體" w:eastAsia="標楷體" w:hAnsi="標楷體"/>
          <w:sz w:val="28"/>
          <w:szCs w:val="28"/>
        </w:rPr>
      </w:pPr>
      <w:r w:rsidRPr="009B68D1">
        <w:rPr>
          <w:rFonts w:ascii="標楷體" w:eastAsia="標楷體" w:hAnsi="標楷體" w:cs="Times New Roman" w:hint="eastAsia"/>
          <w:sz w:val="28"/>
          <w:szCs w:val="28"/>
        </w:rPr>
        <w:t>（</w:t>
      </w:r>
      <w:r w:rsidR="00DE0EBC" w:rsidRPr="009B68D1">
        <w:rPr>
          <w:rFonts w:ascii="標楷體" w:eastAsia="標楷體" w:hAnsi="標楷體" w:cs="Times New Roman" w:hint="eastAsia"/>
          <w:sz w:val="28"/>
          <w:szCs w:val="28"/>
        </w:rPr>
        <w:t>六</w:t>
      </w:r>
      <w:r w:rsidRPr="009B68D1">
        <w:rPr>
          <w:rFonts w:ascii="標楷體" w:eastAsia="標楷體" w:hAnsi="標楷體" w:cs="Times New Roman" w:hint="eastAsia"/>
          <w:sz w:val="28"/>
          <w:szCs w:val="28"/>
        </w:rPr>
        <w:t>）</w:t>
      </w:r>
      <w:r w:rsidRPr="009B68D1">
        <w:rPr>
          <w:rFonts w:ascii="標楷體" w:eastAsia="標楷體" w:hAnsi="標楷體" w:hint="eastAsia"/>
          <w:sz w:val="28"/>
          <w:szCs w:val="28"/>
        </w:rPr>
        <w:t>持</w:t>
      </w:r>
      <w:r w:rsidR="00F21EFF">
        <w:rPr>
          <w:rFonts w:ascii="標楷體" w:eastAsia="標楷體" w:hAnsi="標楷體" w:hint="eastAsia"/>
          <w:sz w:val="28"/>
          <w:szCs w:val="28"/>
        </w:rPr>
        <w:t>股</w:t>
      </w:r>
      <w:r w:rsidRPr="009B68D1">
        <w:rPr>
          <w:rFonts w:ascii="標楷體" w:eastAsia="標楷體" w:hAnsi="標楷體" w:hint="eastAsia"/>
          <w:sz w:val="28"/>
          <w:szCs w:val="28"/>
        </w:rPr>
        <w:t>比例(%)：</w:t>
      </w:r>
    </w:p>
    <w:p w14:paraId="0BC0E552" w14:textId="5C19DDEE" w:rsidR="00277B9C" w:rsidRPr="009B68D1" w:rsidRDefault="00277B9C" w:rsidP="009B68D1">
      <w:pPr>
        <w:adjustRightInd w:val="0"/>
        <w:snapToGrid w:val="0"/>
        <w:spacing w:line="500" w:lineRule="exact"/>
        <w:ind w:leftChars="532" w:left="1607" w:hangingChars="118" w:hanging="330"/>
        <w:jc w:val="both"/>
        <w:rPr>
          <w:rFonts w:ascii="標楷體" w:eastAsia="標楷體" w:hAnsi="標楷體" w:cs="Times New Roman"/>
          <w:kern w:val="0"/>
          <w:sz w:val="28"/>
          <w:szCs w:val="28"/>
        </w:rPr>
      </w:pPr>
      <w:r w:rsidRPr="009B68D1">
        <w:rPr>
          <w:rFonts w:ascii="標楷體" w:eastAsia="標楷體" w:hAnsi="標楷體" w:cs="Times New Roman" w:hint="eastAsia"/>
          <w:noProof/>
          <w:kern w:val="0"/>
          <w:sz w:val="28"/>
          <w:szCs w:val="28"/>
        </w:rPr>
        <w:t>1.持股比例(%)＝股東</w:t>
      </w:r>
      <w:r w:rsidRPr="009B68D1">
        <w:rPr>
          <w:rFonts w:ascii="標楷體" w:eastAsia="標楷體" w:hAnsi="標楷體" w:cs="Times New Roman" w:hint="eastAsia"/>
          <w:kern w:val="0"/>
          <w:sz w:val="28"/>
          <w:szCs w:val="28"/>
        </w:rPr>
        <w:t>持有普通股及特別股之總股數/已完成無實體登錄交付之普通股及特別股（含庫藏股）之總股數</w:t>
      </w:r>
    </w:p>
    <w:p w14:paraId="5DBBA726" w14:textId="07D6EBB3" w:rsidR="00277B9C" w:rsidRPr="009B68D1" w:rsidRDefault="00277B9C" w:rsidP="009B68D1">
      <w:pPr>
        <w:adjustRightInd w:val="0"/>
        <w:snapToGrid w:val="0"/>
        <w:spacing w:line="500" w:lineRule="exact"/>
        <w:ind w:leftChars="532" w:left="1607" w:hangingChars="118" w:hanging="330"/>
        <w:jc w:val="both"/>
        <w:rPr>
          <w:rFonts w:ascii="標楷體" w:eastAsia="標楷體" w:hAnsi="標楷體"/>
          <w:sz w:val="28"/>
          <w:szCs w:val="28"/>
        </w:rPr>
      </w:pPr>
      <w:r w:rsidRPr="009B68D1">
        <w:rPr>
          <w:rFonts w:ascii="標楷體" w:eastAsia="標楷體" w:hAnsi="標楷體" w:hint="eastAsia"/>
          <w:sz w:val="28"/>
          <w:szCs w:val="28"/>
        </w:rPr>
        <w:t>2.</w:t>
      </w:r>
      <w:bookmarkStart w:id="5" w:name="_Hlk33916017"/>
      <w:r w:rsidRPr="009B68D1">
        <w:rPr>
          <w:rFonts w:ascii="標楷體" w:eastAsia="標楷體" w:hAnsi="標楷體" w:cs="Times New Roman" w:hint="eastAsia"/>
          <w:noProof/>
          <w:kern w:val="0"/>
          <w:sz w:val="28"/>
          <w:szCs w:val="28"/>
        </w:rPr>
        <w:t>持股比例</w:t>
      </w:r>
      <w:bookmarkEnd w:id="5"/>
      <w:r w:rsidRPr="009B68D1">
        <w:rPr>
          <w:rFonts w:ascii="標楷體" w:eastAsia="標楷體" w:hAnsi="標楷體" w:cs="Times New Roman" w:hint="eastAsia"/>
          <w:sz w:val="28"/>
          <w:szCs w:val="28"/>
        </w:rPr>
        <w:t>計算至百分比小數點2位，百分比小數點第3位以後無條件捨去。</w:t>
      </w:r>
    </w:p>
    <w:p w14:paraId="63D8B1E7" w14:textId="2C7605C6" w:rsidR="00277B9C" w:rsidRPr="009B68D1" w:rsidRDefault="00277B9C" w:rsidP="009B68D1">
      <w:pPr>
        <w:adjustRightInd w:val="0"/>
        <w:snapToGrid w:val="0"/>
        <w:spacing w:line="500" w:lineRule="exact"/>
        <w:ind w:leftChars="532" w:left="1607" w:hangingChars="118" w:hanging="330"/>
        <w:jc w:val="both"/>
        <w:rPr>
          <w:rFonts w:ascii="標楷體" w:eastAsia="標楷體" w:hAnsi="標楷體"/>
          <w:sz w:val="28"/>
          <w:szCs w:val="28"/>
        </w:rPr>
      </w:pPr>
      <w:r w:rsidRPr="009B68D1">
        <w:rPr>
          <w:rFonts w:ascii="標楷體" w:eastAsia="標楷體" w:hAnsi="標楷體" w:hint="eastAsia"/>
          <w:sz w:val="28"/>
          <w:szCs w:val="28"/>
        </w:rPr>
        <w:t>3.</w:t>
      </w:r>
      <w:r w:rsidR="007E7408">
        <w:rPr>
          <w:rFonts w:ascii="標楷體" w:eastAsia="標楷體" w:hAnsi="標楷體" w:hint="eastAsia"/>
          <w:sz w:val="28"/>
          <w:szCs w:val="28"/>
        </w:rPr>
        <w:t>持股</w:t>
      </w:r>
      <w:bookmarkStart w:id="6" w:name="_GoBack"/>
      <w:bookmarkEnd w:id="6"/>
      <w:r w:rsidR="00DE0EBC" w:rsidRPr="009B68D1">
        <w:rPr>
          <w:rFonts w:ascii="標楷體" w:eastAsia="標楷體" w:hAnsi="標楷體" w:hint="eastAsia"/>
          <w:sz w:val="28"/>
          <w:szCs w:val="28"/>
        </w:rPr>
        <w:t>比例達5%(含)以上者，始列示於報表。</w:t>
      </w:r>
    </w:p>
    <w:p w14:paraId="781DECFF" w14:textId="77777777" w:rsidR="00172B46" w:rsidRPr="00E74AF4" w:rsidRDefault="00172B46" w:rsidP="00E74AF4">
      <w:pPr>
        <w:rPr>
          <w:rFonts w:ascii="標楷體" w:eastAsia="標楷體" w:hAnsi="標楷體"/>
        </w:rPr>
      </w:pPr>
    </w:p>
    <w:sectPr w:rsidR="00172B46" w:rsidRPr="00E74AF4" w:rsidSect="0092768F">
      <w:footerReference w:type="default" r:id="rId8"/>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A176B" w14:textId="77777777" w:rsidR="00EB37B6" w:rsidRDefault="00EB37B6" w:rsidP="009B68D1">
      <w:r>
        <w:separator/>
      </w:r>
    </w:p>
  </w:endnote>
  <w:endnote w:type="continuationSeparator" w:id="0">
    <w:p w14:paraId="422CEDE8" w14:textId="77777777" w:rsidR="00EB37B6" w:rsidRDefault="00EB37B6" w:rsidP="009B6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7645775"/>
      <w:docPartObj>
        <w:docPartGallery w:val="Page Numbers (Bottom of Page)"/>
        <w:docPartUnique/>
      </w:docPartObj>
    </w:sdtPr>
    <w:sdtEndPr/>
    <w:sdtContent>
      <w:p w14:paraId="5F40DB95" w14:textId="74956842" w:rsidR="009B68D1" w:rsidRDefault="009B68D1">
        <w:pPr>
          <w:pStyle w:val="a6"/>
          <w:jc w:val="center"/>
        </w:pPr>
        <w:r>
          <w:fldChar w:fldCharType="begin"/>
        </w:r>
        <w:r>
          <w:instrText>PAGE   \* MERGEFORMAT</w:instrText>
        </w:r>
        <w:r>
          <w:fldChar w:fldCharType="separate"/>
        </w:r>
        <w:r w:rsidR="007E7408" w:rsidRPr="007E7408">
          <w:rPr>
            <w:noProof/>
            <w:lang w:val="zh-TW"/>
          </w:rPr>
          <w:t>1</w:t>
        </w:r>
        <w:r>
          <w:fldChar w:fldCharType="end"/>
        </w:r>
      </w:p>
    </w:sdtContent>
  </w:sdt>
  <w:p w14:paraId="0B845AE1" w14:textId="77777777" w:rsidR="009B68D1" w:rsidRDefault="009B68D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D4836" w14:textId="77777777" w:rsidR="00EB37B6" w:rsidRDefault="00EB37B6" w:rsidP="009B68D1">
      <w:r>
        <w:separator/>
      </w:r>
    </w:p>
  </w:footnote>
  <w:footnote w:type="continuationSeparator" w:id="0">
    <w:p w14:paraId="1EA1F3B9" w14:textId="77777777" w:rsidR="00EB37B6" w:rsidRDefault="00EB37B6" w:rsidP="009B68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A5B41"/>
    <w:multiLevelType w:val="hybridMultilevel"/>
    <w:tmpl w:val="222C751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E972C6C"/>
    <w:multiLevelType w:val="hybridMultilevel"/>
    <w:tmpl w:val="A38EE7E2"/>
    <w:lvl w:ilvl="0" w:tplc="E5D6F17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1560825"/>
    <w:multiLevelType w:val="hybridMultilevel"/>
    <w:tmpl w:val="027CBD18"/>
    <w:lvl w:ilvl="0" w:tplc="E5D6F17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E482EDF"/>
    <w:multiLevelType w:val="hybridMultilevel"/>
    <w:tmpl w:val="EA4AB6A8"/>
    <w:lvl w:ilvl="0" w:tplc="E5D6F17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AEC0712"/>
    <w:multiLevelType w:val="hybridMultilevel"/>
    <w:tmpl w:val="21C6314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8707C32"/>
    <w:multiLevelType w:val="hybridMultilevel"/>
    <w:tmpl w:val="A38EE7E2"/>
    <w:lvl w:ilvl="0" w:tplc="E5D6F17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60486937"/>
    <w:multiLevelType w:val="hybridMultilevel"/>
    <w:tmpl w:val="A38EE7E2"/>
    <w:lvl w:ilvl="0" w:tplc="E5D6F17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61CF0873"/>
    <w:multiLevelType w:val="hybridMultilevel"/>
    <w:tmpl w:val="A38EE7E2"/>
    <w:lvl w:ilvl="0" w:tplc="E5D6F17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67B0269A"/>
    <w:multiLevelType w:val="hybridMultilevel"/>
    <w:tmpl w:val="A38EE7E2"/>
    <w:lvl w:ilvl="0" w:tplc="E5D6F17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6D7C7085"/>
    <w:multiLevelType w:val="hybridMultilevel"/>
    <w:tmpl w:val="027CBD18"/>
    <w:lvl w:ilvl="0" w:tplc="E5D6F17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729D48B4"/>
    <w:multiLevelType w:val="hybridMultilevel"/>
    <w:tmpl w:val="21C6314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7A66D17"/>
    <w:multiLevelType w:val="hybridMultilevel"/>
    <w:tmpl w:val="A38EE7E2"/>
    <w:lvl w:ilvl="0" w:tplc="E5D6F17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0"/>
  </w:num>
  <w:num w:numId="2">
    <w:abstractNumId w:val="9"/>
  </w:num>
  <w:num w:numId="3">
    <w:abstractNumId w:val="2"/>
  </w:num>
  <w:num w:numId="4">
    <w:abstractNumId w:val="3"/>
  </w:num>
  <w:num w:numId="5">
    <w:abstractNumId w:val="11"/>
  </w:num>
  <w:num w:numId="6">
    <w:abstractNumId w:val="1"/>
  </w:num>
  <w:num w:numId="7">
    <w:abstractNumId w:val="6"/>
  </w:num>
  <w:num w:numId="8">
    <w:abstractNumId w:val="5"/>
  </w:num>
  <w:num w:numId="9">
    <w:abstractNumId w:val="7"/>
  </w:num>
  <w:num w:numId="10">
    <w:abstractNumId w:val="4"/>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83A"/>
    <w:rsid w:val="00050C85"/>
    <w:rsid w:val="00065805"/>
    <w:rsid w:val="0008677D"/>
    <w:rsid w:val="000A1AD7"/>
    <w:rsid w:val="000D51DC"/>
    <w:rsid w:val="000E2CAD"/>
    <w:rsid w:val="00172B46"/>
    <w:rsid w:val="00262001"/>
    <w:rsid w:val="00277B9C"/>
    <w:rsid w:val="002A4DDF"/>
    <w:rsid w:val="002C7334"/>
    <w:rsid w:val="002E0D2D"/>
    <w:rsid w:val="0034343C"/>
    <w:rsid w:val="003450C5"/>
    <w:rsid w:val="00446819"/>
    <w:rsid w:val="00455EE7"/>
    <w:rsid w:val="005826E8"/>
    <w:rsid w:val="00592E97"/>
    <w:rsid w:val="00595FC6"/>
    <w:rsid w:val="006450E4"/>
    <w:rsid w:val="0068283C"/>
    <w:rsid w:val="00724C67"/>
    <w:rsid w:val="0073283A"/>
    <w:rsid w:val="0074217D"/>
    <w:rsid w:val="00756EF9"/>
    <w:rsid w:val="007D1CBC"/>
    <w:rsid w:val="007E7408"/>
    <w:rsid w:val="007F5CC6"/>
    <w:rsid w:val="008167AB"/>
    <w:rsid w:val="0092768F"/>
    <w:rsid w:val="00974A26"/>
    <w:rsid w:val="009B68D1"/>
    <w:rsid w:val="009F67B1"/>
    <w:rsid w:val="00A92BC1"/>
    <w:rsid w:val="00A9621B"/>
    <w:rsid w:val="00B16775"/>
    <w:rsid w:val="00B851BE"/>
    <w:rsid w:val="00BB32D6"/>
    <w:rsid w:val="00BC26CC"/>
    <w:rsid w:val="00BC2B8D"/>
    <w:rsid w:val="00BD54AB"/>
    <w:rsid w:val="00C05A61"/>
    <w:rsid w:val="00C52350"/>
    <w:rsid w:val="00D2361F"/>
    <w:rsid w:val="00D300E3"/>
    <w:rsid w:val="00D54A59"/>
    <w:rsid w:val="00D92A65"/>
    <w:rsid w:val="00DE0EBC"/>
    <w:rsid w:val="00E74AF4"/>
    <w:rsid w:val="00EB37B6"/>
    <w:rsid w:val="00EF7642"/>
    <w:rsid w:val="00F14233"/>
    <w:rsid w:val="00F21EFF"/>
    <w:rsid w:val="00F301EF"/>
    <w:rsid w:val="00FC0D45"/>
    <w:rsid w:val="00FE5E82"/>
    <w:rsid w:val="00FE74C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77CE66"/>
  <w15:docId w15:val="{222577E9-AFD3-4B70-8F14-77669F5EA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1E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5A61"/>
    <w:pPr>
      <w:ind w:leftChars="200" w:left="480"/>
    </w:pPr>
  </w:style>
  <w:style w:type="paragraph" w:styleId="a4">
    <w:name w:val="header"/>
    <w:basedOn w:val="a"/>
    <w:link w:val="a5"/>
    <w:uiPriority w:val="99"/>
    <w:unhideWhenUsed/>
    <w:rsid w:val="009B68D1"/>
    <w:pPr>
      <w:tabs>
        <w:tab w:val="center" w:pos="4153"/>
        <w:tab w:val="right" w:pos="8306"/>
      </w:tabs>
      <w:snapToGrid w:val="0"/>
    </w:pPr>
    <w:rPr>
      <w:sz w:val="20"/>
      <w:szCs w:val="20"/>
    </w:rPr>
  </w:style>
  <w:style w:type="character" w:customStyle="1" w:styleId="a5">
    <w:name w:val="頁首 字元"/>
    <w:basedOn w:val="a0"/>
    <w:link w:val="a4"/>
    <w:uiPriority w:val="99"/>
    <w:rsid w:val="009B68D1"/>
    <w:rPr>
      <w:sz w:val="20"/>
      <w:szCs w:val="20"/>
    </w:rPr>
  </w:style>
  <w:style w:type="paragraph" w:styleId="a6">
    <w:name w:val="footer"/>
    <w:basedOn w:val="a"/>
    <w:link w:val="a7"/>
    <w:uiPriority w:val="99"/>
    <w:unhideWhenUsed/>
    <w:rsid w:val="009B68D1"/>
    <w:pPr>
      <w:tabs>
        <w:tab w:val="center" w:pos="4153"/>
        <w:tab w:val="right" w:pos="8306"/>
      </w:tabs>
      <w:snapToGrid w:val="0"/>
    </w:pPr>
    <w:rPr>
      <w:sz w:val="20"/>
      <w:szCs w:val="20"/>
    </w:rPr>
  </w:style>
  <w:style w:type="character" w:customStyle="1" w:styleId="a7">
    <w:name w:val="頁尾 字元"/>
    <w:basedOn w:val="a0"/>
    <w:link w:val="a6"/>
    <w:uiPriority w:val="99"/>
    <w:rsid w:val="009B68D1"/>
    <w:rPr>
      <w:sz w:val="20"/>
      <w:szCs w:val="20"/>
    </w:rPr>
  </w:style>
  <w:style w:type="paragraph" w:styleId="a8">
    <w:name w:val="Balloon Text"/>
    <w:basedOn w:val="a"/>
    <w:link w:val="a9"/>
    <w:uiPriority w:val="99"/>
    <w:semiHidden/>
    <w:unhideWhenUsed/>
    <w:rsid w:val="00BC26C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C26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829012">
      <w:bodyDiv w:val="1"/>
      <w:marLeft w:val="0"/>
      <w:marRight w:val="0"/>
      <w:marTop w:val="0"/>
      <w:marBottom w:val="0"/>
      <w:divBdr>
        <w:top w:val="none" w:sz="0" w:space="0" w:color="auto"/>
        <w:left w:val="none" w:sz="0" w:space="0" w:color="auto"/>
        <w:bottom w:val="none" w:sz="0" w:space="0" w:color="auto"/>
        <w:right w:val="none" w:sz="0" w:space="0" w:color="auto"/>
      </w:divBdr>
    </w:div>
    <w:div w:id="977298821">
      <w:bodyDiv w:val="1"/>
      <w:marLeft w:val="0"/>
      <w:marRight w:val="0"/>
      <w:marTop w:val="0"/>
      <w:marBottom w:val="0"/>
      <w:divBdr>
        <w:top w:val="none" w:sz="0" w:space="0" w:color="auto"/>
        <w:left w:val="none" w:sz="0" w:space="0" w:color="auto"/>
        <w:bottom w:val="none" w:sz="0" w:space="0" w:color="auto"/>
        <w:right w:val="none" w:sz="0" w:space="0" w:color="auto"/>
      </w:divBdr>
    </w:div>
    <w:div w:id="130161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150CA-EEAD-487D-8B7F-72DEAF330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dc:creator>
  <cp:lastModifiedBy>林佳薇</cp:lastModifiedBy>
  <cp:revision>12</cp:revision>
  <cp:lastPrinted>2020-03-03T02:39:00Z</cp:lastPrinted>
  <dcterms:created xsi:type="dcterms:W3CDTF">2020-02-24T07:48:00Z</dcterms:created>
  <dcterms:modified xsi:type="dcterms:W3CDTF">2020-03-09T04:35:00Z</dcterms:modified>
</cp:coreProperties>
</file>